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85" w:rsidRPr="00626A97" w:rsidRDefault="00013408" w:rsidP="00691A6D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PDS - Perimetrický detekční</w:t>
      </w:r>
      <w:r w:rsidR="00691A6D" w:rsidRPr="00626A97">
        <w:rPr>
          <w:rFonts w:ascii="Arial" w:hAnsi="Arial" w:cs="Arial"/>
        </w:rPr>
        <w:t xml:space="preserve">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Ind w:w="-459" w:type="dxa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013408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626A97">
              <w:rPr>
                <w:rFonts w:ascii="Arial" w:hAnsi="Arial"/>
                <w:b/>
              </w:rPr>
              <w:t>P</w:t>
            </w:r>
            <w:r w:rsidR="001F6726">
              <w:rPr>
                <w:rFonts w:ascii="Arial" w:hAnsi="Arial"/>
                <w:b/>
              </w:rPr>
              <w:t>D</w:t>
            </w:r>
            <w:r w:rsidRPr="00626A97">
              <w:rPr>
                <w:rFonts w:ascii="Arial" w:hAnsi="Arial"/>
                <w:b/>
              </w:rPr>
              <w:t xml:space="preserve">S - </w:t>
            </w:r>
            <w:r w:rsidR="00013408">
              <w:rPr>
                <w:rFonts w:ascii="Arial" w:hAnsi="Arial"/>
                <w:b/>
              </w:rPr>
              <w:t xml:space="preserve">systém, </w:t>
            </w:r>
            <w:r w:rsidRPr="00626A97">
              <w:rPr>
                <w:rFonts w:ascii="Arial" w:hAnsi="Arial"/>
                <w:b/>
              </w:rPr>
              <w:t xml:space="preserve">zdroje, </w:t>
            </w:r>
            <w:r w:rsidR="00013408">
              <w:rPr>
                <w:rFonts w:ascii="Arial" w:hAnsi="Arial"/>
                <w:b/>
              </w:rPr>
              <w:t xml:space="preserve">systémové </w:t>
            </w:r>
            <w:r w:rsidRPr="00626A97">
              <w:rPr>
                <w:rFonts w:ascii="Arial" w:hAnsi="Arial"/>
                <w:b/>
              </w:rPr>
              <w:t>moduly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3A3FE8" w:rsidRDefault="002470EB" w:rsidP="001F6726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Ústředna </w:t>
            </w:r>
            <w:r w:rsidR="00691A6D" w:rsidRPr="00436C55">
              <w:rPr>
                <w:rFonts w:ascii="Arial" w:hAnsi="Arial"/>
                <w:sz w:val="16"/>
                <w:szCs w:val="16"/>
              </w:rPr>
              <w:t>P</w:t>
            </w:r>
            <w:r w:rsidR="001F6726">
              <w:rPr>
                <w:rFonts w:ascii="Arial" w:hAnsi="Arial"/>
                <w:sz w:val="16"/>
                <w:szCs w:val="16"/>
              </w:rPr>
              <w:t>DS</w:t>
            </w:r>
          </w:p>
          <w:p w:rsidR="00CF75EF" w:rsidRPr="00CF75EF" w:rsidRDefault="002640AD" w:rsidP="001F6726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5.6</w:t>
            </w:r>
            <w:r w:rsidR="005F5487">
              <w:rPr>
                <w:rFonts w:ascii="Arial" w:hAnsi="Arial"/>
                <w:sz w:val="16"/>
                <w:szCs w:val="16"/>
              </w:rPr>
              <w:t>, 5.1</w:t>
            </w:r>
          </w:p>
        </w:tc>
        <w:tc>
          <w:tcPr>
            <w:tcW w:w="9201" w:type="dxa"/>
            <w:vAlign w:val="center"/>
            <w:hideMark/>
          </w:tcPr>
          <w:p w:rsidR="003A3FE8" w:rsidRPr="00626A97" w:rsidRDefault="001F6726" w:rsidP="009D1A7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Provedení v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>yhodnocovací jednotk</w:t>
            </w:r>
            <w:r>
              <w:rPr>
                <w:rFonts w:ascii="Arial" w:hAnsi="Arial"/>
                <w:bCs/>
                <w:sz w:val="16"/>
                <w:szCs w:val="16"/>
              </w:rPr>
              <w:t>y musí být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vhodném pro instalaci ve venkovním prostředí, s průchodkami pro kabeláž. K jednotce jsou připojeny datovým a zároveň napájecím kabelem (dvoudrátová sběrnice) jednotlivé detekční senzory a vstupně/výstupní moduly. Jednotka obsahuje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musí obsahovat min. 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10 programovatelných výstupů. </w:t>
            </w:r>
            <w:r>
              <w:rPr>
                <w:rFonts w:ascii="Arial" w:hAnsi="Arial"/>
                <w:bCs/>
                <w:sz w:val="16"/>
                <w:szCs w:val="16"/>
              </w:rPr>
              <w:t>K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aždému výstupu </w:t>
            </w:r>
            <w:r>
              <w:rPr>
                <w:rFonts w:ascii="Arial" w:hAnsi="Arial"/>
                <w:bCs/>
                <w:sz w:val="16"/>
                <w:szCs w:val="16"/>
              </w:rPr>
              <w:t>musí být možné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přiřadit aktivaci z jakýchkoliv skupin senzorů nebo stav vstupu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vstupně/výstupního 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modulu. Vyhodnocovací jednotka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musí 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>obsah</w:t>
            </w:r>
            <w:r>
              <w:rPr>
                <w:rFonts w:ascii="Arial" w:hAnsi="Arial"/>
                <w:bCs/>
                <w:sz w:val="16"/>
                <w:szCs w:val="16"/>
              </w:rPr>
              <w:t>ovat min.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osm dvojitě vyvážených vstupů, které mohou být použity pro připojení prvků, jako např. kontaktů a PIR, IR, MW detektorů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. 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>P</w:t>
            </w:r>
            <w:r w:rsidR="00BA653C" w:rsidRPr="00626A97">
              <w:rPr>
                <w:rFonts w:ascii="Arial" w:hAnsi="Arial"/>
                <w:bCs/>
                <w:sz w:val="16"/>
                <w:szCs w:val="16"/>
              </w:rPr>
              <w:t>rovedení min. pro stupeň zabezpečení</w:t>
            </w:r>
            <w:r w:rsidR="00BA653C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  <w:r w:rsidR="003A3FE8" w:rsidRPr="00626A97">
              <w:rPr>
                <w:rFonts w:ascii="Arial" w:hAnsi="Arial"/>
                <w:bCs/>
                <w:sz w:val="16"/>
                <w:szCs w:val="16"/>
              </w:rPr>
              <w:t xml:space="preserve"> dle ČSN EN 50131-1</w:t>
            </w:r>
            <w:r w:rsidR="005F5487">
              <w:rPr>
                <w:rFonts w:ascii="Arial" w:hAnsi="Arial"/>
                <w:bCs/>
                <w:sz w:val="16"/>
                <w:szCs w:val="16"/>
              </w:rPr>
              <w:t>. Včetně konfiguračního SW.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D5342B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>Přídavný zdroj</w:t>
            </w:r>
          </w:p>
          <w:p w:rsidR="002640AD" w:rsidRPr="00436C55" w:rsidRDefault="002640AD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5.4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D5342B" w:rsidP="00DC0D2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řídavný zálohovaný napájecí zdroj </w:t>
            </w:r>
            <w:r w:rsidR="00D3104A">
              <w:rPr>
                <w:rFonts w:ascii="Arial" w:hAnsi="Arial"/>
                <w:bCs/>
                <w:sz w:val="16"/>
                <w:szCs w:val="16"/>
              </w:rPr>
              <w:t>PZT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S 13,8V DC/ min. 5A, včetně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oceloplechové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skříně s 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dedekcí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sabotáže, poruchy 230V, poruchy AKU,a prostorem pro akumulátor </w:t>
            </w:r>
            <w:r w:rsidR="00DC0D2A">
              <w:rPr>
                <w:rFonts w:ascii="Arial" w:hAnsi="Arial"/>
                <w:bCs/>
                <w:sz w:val="16"/>
                <w:szCs w:val="16"/>
              </w:rPr>
              <w:t>38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Ah. Provedení min. pro stupeň zabezpečení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1F6726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1F6726" w:rsidRDefault="001F6726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Integrační modul</w:t>
            </w:r>
          </w:p>
          <w:p w:rsidR="002640AD" w:rsidRDefault="002640AD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5.9, 5.10</w:t>
            </w:r>
          </w:p>
        </w:tc>
        <w:tc>
          <w:tcPr>
            <w:tcW w:w="9201" w:type="dxa"/>
            <w:vAlign w:val="center"/>
            <w:hideMark/>
          </w:tcPr>
          <w:p w:rsidR="001F6726" w:rsidRPr="001F6726" w:rsidRDefault="001F6726" w:rsidP="00332E7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F6726">
              <w:rPr>
                <w:rFonts w:ascii="Arial" w:hAnsi="Arial"/>
                <w:bCs/>
                <w:sz w:val="16"/>
                <w:szCs w:val="16"/>
              </w:rPr>
              <w:t>Integrační modul funguje jako převodník komunikační linky RS232 na Ethernet, umožňuje snadnou zákaznickou integraci systému do nadstavbových a vizualizačních systémů. Dále umožňuje v kombinaci s vhodným programem k vytvoření virtuálního portu</w:t>
            </w:r>
            <w:r w:rsidR="00332E7E"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1F6726">
              <w:rPr>
                <w:rFonts w:ascii="Arial" w:hAnsi="Arial"/>
                <w:bCs/>
                <w:sz w:val="16"/>
                <w:szCs w:val="16"/>
              </w:rPr>
              <w:t xml:space="preserve"> připojení servisního software pro vzdálenou konfiguraci řídící jednotky.</w:t>
            </w:r>
            <w:r>
              <w:t xml:space="preserve">  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1F6726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Vstupně/výstupní</w:t>
            </w:r>
            <w:r w:rsidR="00D5342B" w:rsidRPr="00436C55">
              <w:rPr>
                <w:rFonts w:ascii="Arial" w:hAnsi="Arial"/>
                <w:sz w:val="16"/>
                <w:szCs w:val="16"/>
              </w:rPr>
              <w:t xml:space="preserve"> modul</w:t>
            </w:r>
          </w:p>
          <w:p w:rsidR="002640AD" w:rsidRPr="00436C55" w:rsidRDefault="002640AD" w:rsidP="002640A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5.7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1F6726" w:rsidP="009D1A7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1F6726">
              <w:rPr>
                <w:rFonts w:ascii="Arial" w:hAnsi="Arial"/>
                <w:bCs/>
                <w:sz w:val="16"/>
                <w:szCs w:val="16"/>
              </w:rPr>
              <w:t>Vstupně výstupní modul je určen pro zavedení logického stavu (např. kontaktu) do systému, a pro sepnutí jakéhokoliv zařízení na trase perimetru. Vstup je dvojitě vyvážený, výstup je typu otevřený kolektor s galvanickým oddělením. Modul musí být adresovatelný, s možností připojení kdekoliv na datový kabel. P</w:t>
            </w:r>
            <w:r w:rsidR="00D5342B" w:rsidRPr="00626A97">
              <w:rPr>
                <w:rFonts w:ascii="Arial" w:hAnsi="Arial"/>
                <w:bCs/>
                <w:sz w:val="16"/>
                <w:szCs w:val="16"/>
              </w:rPr>
              <w:t xml:space="preserve">rovedení min. pro stupeň zabezpečení </w:t>
            </w:r>
            <w:r w:rsidR="009D1A78">
              <w:rPr>
                <w:rFonts w:ascii="Arial" w:hAnsi="Arial"/>
                <w:bCs/>
                <w:sz w:val="16"/>
                <w:szCs w:val="16"/>
              </w:rPr>
              <w:t>3</w:t>
            </w: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1F6726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Releový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modul</w:t>
            </w:r>
          </w:p>
          <w:p w:rsidR="002640AD" w:rsidRPr="00436C55" w:rsidRDefault="002640AD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5.13, 5.14</w:t>
            </w:r>
          </w:p>
        </w:tc>
        <w:tc>
          <w:tcPr>
            <w:tcW w:w="9201" w:type="dxa"/>
            <w:vAlign w:val="center"/>
            <w:hideMark/>
          </w:tcPr>
          <w:p w:rsidR="00D5342B" w:rsidRPr="00626A97" w:rsidRDefault="00013408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013408">
              <w:rPr>
                <w:rFonts w:ascii="Arial" w:hAnsi="Arial"/>
                <w:bCs/>
                <w:sz w:val="16"/>
                <w:szCs w:val="16"/>
              </w:rPr>
              <w:t>Reléový modul ulehčuje připojení výstupů systému ke vstupům zařízení jiných výrobců (zabezpečovací ústředny, DVR, apod.) a poskytuje galvanické oddělení těchto výstupů</w:t>
            </w:r>
          </w:p>
        </w:tc>
      </w:tr>
      <w:tr w:rsidR="002640A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2640AD" w:rsidRDefault="002640AD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Rozvaděč</w:t>
            </w:r>
          </w:p>
          <w:p w:rsidR="002640AD" w:rsidRDefault="002640AD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5.3</w:t>
            </w:r>
          </w:p>
        </w:tc>
        <w:tc>
          <w:tcPr>
            <w:tcW w:w="9201" w:type="dxa"/>
            <w:vAlign w:val="center"/>
            <w:hideMark/>
          </w:tcPr>
          <w:p w:rsidR="002640AD" w:rsidRPr="00013408" w:rsidRDefault="002640AD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640AD">
              <w:rPr>
                <w:rFonts w:ascii="Arial" w:hAnsi="Arial"/>
                <w:bCs/>
                <w:sz w:val="16"/>
                <w:szCs w:val="16"/>
              </w:rPr>
              <w:t xml:space="preserve">Typový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ocelový </w:t>
            </w:r>
            <w:r w:rsidRPr="002640AD">
              <w:rPr>
                <w:rFonts w:ascii="Arial" w:hAnsi="Arial"/>
                <w:bCs/>
                <w:sz w:val="16"/>
                <w:szCs w:val="16"/>
              </w:rPr>
              <w:t>rozvaděč IP65, 700x500x200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sz w:val="16"/>
                <w:szCs w:val="16"/>
              </w:rPr>
              <w:t>Instalace na sloupek oplocení.</w:t>
            </w:r>
          </w:p>
        </w:tc>
      </w:tr>
      <w:tr w:rsidR="003F3D8C" w:rsidRPr="00626A97" w:rsidTr="00B3730D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3F3D8C" w:rsidRPr="00626A97" w:rsidRDefault="003F3D8C" w:rsidP="0001340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>P</w:t>
            </w:r>
            <w:r w:rsidR="00013408">
              <w:rPr>
                <w:rFonts w:ascii="Arial" w:hAnsi="Arial"/>
                <w:b/>
              </w:rPr>
              <w:t>D</w:t>
            </w:r>
            <w:r w:rsidRPr="00626A97">
              <w:rPr>
                <w:rFonts w:ascii="Arial" w:hAnsi="Arial"/>
                <w:b/>
              </w:rPr>
              <w:t>S - detektory</w:t>
            </w:r>
            <w:r w:rsidR="00013408"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3F3D8C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3F3D8C" w:rsidRDefault="00013408" w:rsidP="00013408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013408">
              <w:rPr>
                <w:rFonts w:ascii="Arial" w:eastAsia="Times New Roman" w:hAnsi="Arial" w:cs="Arial"/>
                <w:b w:val="0"/>
                <w:bCs w:val="0"/>
                <w:szCs w:val="16"/>
              </w:rPr>
              <w:t>Detekční senzor</w:t>
            </w:r>
          </w:p>
          <w:p w:rsidR="002640AD" w:rsidRPr="002640AD" w:rsidRDefault="002640AD" w:rsidP="002640AD"/>
          <w:p w:rsidR="002640AD" w:rsidRPr="002640AD" w:rsidRDefault="002640AD" w:rsidP="00D6409E">
            <w:pPr>
              <w:ind w:left="0"/>
            </w:pPr>
            <w:r>
              <w:rPr>
                <w:rFonts w:ascii="Arial" w:hAnsi="Arial"/>
                <w:sz w:val="16"/>
                <w:szCs w:val="16"/>
              </w:rPr>
              <w:t>VV řádek 5.15 – 5.18</w:t>
            </w:r>
          </w:p>
        </w:tc>
        <w:tc>
          <w:tcPr>
            <w:tcW w:w="9201" w:type="dxa"/>
            <w:vAlign w:val="center"/>
            <w:hideMark/>
          </w:tcPr>
          <w:p w:rsidR="003F3D8C" w:rsidRPr="00626A97" w:rsidRDefault="00013408" w:rsidP="009D2492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013408">
              <w:rPr>
                <w:rFonts w:ascii="Arial" w:hAnsi="Arial"/>
                <w:bCs/>
                <w:sz w:val="16"/>
                <w:szCs w:val="16"/>
              </w:rPr>
              <w:t xml:space="preserve">Detekční senzor vyhodnocuje pomocí piezoelektrického čidla mechanické otřesy z oplocení. Je umístěn v dvouplášťové plastové krabičce a k oplocení se upevňuje pomocí čtyř šroubů a plastového třmenu. Jednotlivé senzory jsou výrobcem propojeny datovým kabelem s roztečí dle konkrétních podmínek. </w:t>
            </w:r>
            <w:r w:rsidR="009D2492">
              <w:rPr>
                <w:rFonts w:ascii="Arial Narrow" w:hAnsi="Arial Narrow"/>
                <w:szCs w:val="24"/>
              </w:rPr>
              <w:t>D</w:t>
            </w:r>
            <w:r w:rsidR="009D2492" w:rsidRPr="00537A0E">
              <w:rPr>
                <w:rFonts w:ascii="Arial Narrow" w:hAnsi="Arial Narrow"/>
                <w:szCs w:val="24"/>
              </w:rPr>
              <w:t xml:space="preserve">etektor obsahuje piezoelektrický element doplněný </w:t>
            </w:r>
            <w:r w:rsidR="009D2492">
              <w:rPr>
                <w:rFonts w:ascii="Arial Narrow" w:hAnsi="Arial Narrow"/>
                <w:szCs w:val="24"/>
              </w:rPr>
              <w:t>m</w:t>
            </w:r>
            <w:r w:rsidR="009D2492" w:rsidRPr="00537A0E">
              <w:rPr>
                <w:rFonts w:ascii="Arial Narrow" w:hAnsi="Arial Narrow"/>
                <w:szCs w:val="24"/>
              </w:rPr>
              <w:t>ikroprocesorovým zpracováním signálu.</w:t>
            </w:r>
          </w:p>
        </w:tc>
      </w:tr>
      <w:tr w:rsidR="00013408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hideMark/>
          </w:tcPr>
          <w:p w:rsidR="00013408" w:rsidRPr="00626A97" w:rsidRDefault="00013408" w:rsidP="00013408">
            <w:pPr>
              <w:spacing w:before="240"/>
              <w:ind w:left="0"/>
              <w:rPr>
                <w:rFonts w:ascii="Arial" w:hAnsi="Arial"/>
                <w:b/>
                <w:sz w:val="16"/>
                <w:szCs w:val="16"/>
              </w:rPr>
            </w:pPr>
            <w:r w:rsidRPr="00626A97">
              <w:rPr>
                <w:rFonts w:ascii="Arial" w:hAnsi="Arial"/>
                <w:b/>
              </w:rPr>
              <w:t>P</w:t>
            </w:r>
            <w:r>
              <w:rPr>
                <w:rFonts w:ascii="Arial" w:hAnsi="Arial"/>
                <w:b/>
              </w:rPr>
              <w:t>D</w:t>
            </w:r>
            <w:r w:rsidRPr="00626A97">
              <w:rPr>
                <w:rFonts w:ascii="Arial" w:hAnsi="Arial"/>
                <w:b/>
              </w:rPr>
              <w:t xml:space="preserve">S - </w:t>
            </w:r>
            <w:r>
              <w:rPr>
                <w:rFonts w:ascii="Arial" w:hAnsi="Arial"/>
                <w:b/>
              </w:rPr>
              <w:t>kabeláž</w:t>
            </w:r>
            <w:r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 xml:space="preserve">(včetně montáže, měření a </w:t>
            </w:r>
            <w:r>
              <w:rPr>
                <w:rFonts w:ascii="Arial" w:hAnsi="Arial"/>
                <w:sz w:val="16"/>
                <w:szCs w:val="16"/>
              </w:rPr>
              <w:t>připojení</w:t>
            </w:r>
            <w:r w:rsidRPr="00D5342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D6409E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A60E3A" w:rsidRPr="00436C55" w:rsidRDefault="00D6409E" w:rsidP="00A60E3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5.2</w:t>
            </w:r>
            <w:r w:rsidR="00A60E3A">
              <w:rPr>
                <w:rFonts w:ascii="Arial" w:hAnsi="Arial"/>
                <w:sz w:val="16"/>
                <w:szCs w:val="16"/>
              </w:rPr>
              <w:t>4</w:t>
            </w:r>
            <w:r w:rsidR="005F5487">
              <w:rPr>
                <w:rFonts w:ascii="Arial" w:hAnsi="Arial"/>
                <w:sz w:val="16"/>
                <w:szCs w:val="16"/>
              </w:rPr>
              <w:t>,</w:t>
            </w:r>
            <w:r>
              <w:rPr>
                <w:rFonts w:ascii="Arial" w:hAnsi="Arial"/>
                <w:sz w:val="16"/>
                <w:szCs w:val="16"/>
              </w:rPr>
              <w:t xml:space="preserve"> 5.</w:t>
            </w:r>
            <w:r w:rsidR="00A60E3A"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9201" w:type="dxa"/>
            <w:hideMark/>
          </w:tcPr>
          <w:p w:rsidR="00D6409E" w:rsidRPr="00626A97" w:rsidRDefault="00D6409E" w:rsidP="00DF0FE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Datový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kabel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FTP Cat.5e PE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stíněný </w:t>
            </w:r>
            <w:r w:rsidRPr="00D95433">
              <w:rPr>
                <w:rFonts w:ascii="Arial" w:hAnsi="Arial"/>
                <w:bCs/>
                <w:sz w:val="16"/>
                <w:szCs w:val="16"/>
              </w:rPr>
              <w:t xml:space="preserve">s polyethylenovým pláštěm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pro v</w:t>
            </w:r>
            <w:r>
              <w:rPr>
                <w:rFonts w:ascii="Arial" w:hAnsi="Arial"/>
                <w:bCs/>
                <w:sz w:val="16"/>
                <w:szCs w:val="16"/>
              </w:rPr>
              <w:t>enkovní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instalace.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x</w:t>
            </w:r>
            <w:r>
              <w:rPr>
                <w:rFonts w:ascii="Arial" w:hAnsi="Arial"/>
                <w:bCs/>
                <w:sz w:val="16"/>
                <w:szCs w:val="16"/>
              </w:rPr>
              <w:t>2x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0,</w:t>
            </w:r>
            <w:r>
              <w:rPr>
                <w:rFonts w:ascii="Arial" w:hAnsi="Arial"/>
                <w:bCs/>
                <w:sz w:val="16"/>
                <w:szCs w:val="16"/>
              </w:rPr>
              <w:t>3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5mm2, PVC izolace žil, elektrostatické stínění, PVC plášť, bílý nebo šedý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sběrnicových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systémov</w:t>
            </w:r>
            <w:r>
              <w:rPr>
                <w:rFonts w:ascii="Arial" w:hAnsi="Arial"/>
                <w:bCs/>
                <w:sz w:val="16"/>
                <w:szCs w:val="16"/>
              </w:rPr>
              <w:t>ých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prvků)</w:t>
            </w:r>
          </w:p>
        </w:tc>
      </w:tr>
      <w:tr w:rsidR="00D6409E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A60E3A" w:rsidRPr="00436C55" w:rsidRDefault="00D6409E" w:rsidP="00A60E3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</w:t>
            </w:r>
            <w:r w:rsidR="00A60E3A"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9201" w:type="dxa"/>
            <w:hideMark/>
          </w:tcPr>
          <w:p w:rsidR="00D6409E" w:rsidRPr="00626A97" w:rsidRDefault="00D6409E" w:rsidP="00DF0FE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  <w:u w:val="single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Datový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kabel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UTP Cat.5e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nestíněný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pro vnitřní instalace.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x</w:t>
            </w:r>
            <w:r>
              <w:rPr>
                <w:rFonts w:ascii="Arial" w:hAnsi="Arial"/>
                <w:bCs/>
                <w:sz w:val="16"/>
                <w:szCs w:val="16"/>
              </w:rPr>
              <w:t>2x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0,</w:t>
            </w:r>
            <w:r>
              <w:rPr>
                <w:rFonts w:ascii="Arial" w:hAnsi="Arial"/>
                <w:bCs/>
                <w:sz w:val="16"/>
                <w:szCs w:val="16"/>
              </w:rPr>
              <w:t>3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5mm2, PVC izolace žil, elektrostatické stínění, PVC plášť, bílý nebo šedý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</w:t>
            </w:r>
            <w:r>
              <w:rPr>
                <w:rFonts w:ascii="Arial" w:hAnsi="Arial"/>
                <w:bCs/>
                <w:sz w:val="16"/>
                <w:szCs w:val="16"/>
              </w:rPr>
              <w:t>ých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koncových prvků)</w:t>
            </w:r>
          </w:p>
        </w:tc>
      </w:tr>
      <w:tr w:rsidR="00D6409E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D6409E" w:rsidRDefault="00D6409E" w:rsidP="00A60E3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</w:t>
            </w:r>
            <w:r w:rsidR="00A60E3A"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9201" w:type="dxa"/>
            <w:hideMark/>
          </w:tcPr>
          <w:p w:rsidR="00D6409E" w:rsidRPr="002F3E3A" w:rsidRDefault="00D6409E" w:rsidP="00D6409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N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ízkofrekvenční kabel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SYKFY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pro vnitřní instalace. Materiál vodičů </w:t>
            </w:r>
            <w:proofErr w:type="spellStart"/>
            <w:r w:rsidRPr="00626A97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20x2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x0,5mm2, PVC izolace žil, elektrostatické stínění, PVC plášť, bílý nebo šedý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určeno pro propojení systémov</w:t>
            </w:r>
            <w:r>
              <w:rPr>
                <w:rFonts w:ascii="Arial" w:hAnsi="Arial"/>
                <w:bCs/>
                <w:sz w:val="16"/>
                <w:szCs w:val="16"/>
              </w:rPr>
              <w:t>ých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koncových prvků)</w:t>
            </w:r>
          </w:p>
        </w:tc>
      </w:tr>
      <w:tr w:rsidR="00626E5E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626E5E" w:rsidRPr="00436C55" w:rsidRDefault="00D6409E" w:rsidP="00A60E3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VV řádek 5.28</w:t>
            </w:r>
          </w:p>
        </w:tc>
        <w:tc>
          <w:tcPr>
            <w:tcW w:w="9201" w:type="dxa"/>
            <w:hideMark/>
          </w:tcPr>
          <w:p w:rsidR="00626E5E" w:rsidRDefault="00D6409E" w:rsidP="00D6409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2F3E3A">
              <w:rPr>
                <w:rFonts w:ascii="Arial" w:hAnsi="Arial"/>
                <w:bCs/>
                <w:sz w:val="16"/>
                <w:szCs w:val="16"/>
              </w:rPr>
              <w:t>Kabel pro pevné rozvody, pro telekomunikační, signalizační a sdělovací a datové obvody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D6409E">
              <w:rPr>
                <w:rFonts w:ascii="Arial" w:hAnsi="Arial"/>
                <w:bCs/>
                <w:sz w:val="16"/>
                <w:szCs w:val="16"/>
              </w:rPr>
              <w:t>pro vnější telekomunikační sítě uložené do země, kabelových kanálů nebo do trubek.</w:t>
            </w:r>
            <w:r w:rsidRPr="002F3E3A">
              <w:rPr>
                <w:rFonts w:ascii="Arial" w:hAnsi="Arial"/>
                <w:bCs/>
                <w:sz w:val="16"/>
                <w:szCs w:val="16"/>
              </w:rPr>
              <w:t>.</w:t>
            </w:r>
            <w:r w:rsidRPr="00D6409E">
              <w:rPr>
                <w:rFonts w:ascii="Arial" w:hAnsi="Arial"/>
                <w:bCs/>
                <w:sz w:val="16"/>
                <w:szCs w:val="16"/>
              </w:rPr>
              <w:t xml:space="preserve"> TCEPKPFLE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5x4x0,6.</w:t>
            </w:r>
          </w:p>
        </w:tc>
      </w:tr>
      <w:tr w:rsidR="00013408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013408" w:rsidRPr="00436C55" w:rsidRDefault="00D6409E" w:rsidP="00A60E3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5.</w:t>
            </w:r>
            <w:r w:rsidR="00A60E3A">
              <w:rPr>
                <w:rFonts w:ascii="Arial" w:hAnsi="Arial"/>
                <w:sz w:val="16"/>
                <w:szCs w:val="16"/>
              </w:rPr>
              <w:t>26</w:t>
            </w:r>
            <w:r w:rsidR="005F5487">
              <w:rPr>
                <w:rFonts w:ascii="Arial" w:hAnsi="Arial"/>
                <w:sz w:val="16"/>
                <w:szCs w:val="16"/>
              </w:rPr>
              <w:t>,</w:t>
            </w:r>
            <w:r>
              <w:rPr>
                <w:rFonts w:ascii="Arial" w:hAnsi="Arial"/>
                <w:sz w:val="16"/>
                <w:szCs w:val="16"/>
              </w:rPr>
              <w:t xml:space="preserve"> 5.</w:t>
            </w:r>
            <w:r w:rsidR="00A60E3A"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9201" w:type="dxa"/>
            <w:hideMark/>
          </w:tcPr>
          <w:p w:rsidR="00013408" w:rsidRPr="00626A97" w:rsidRDefault="00D6409E" w:rsidP="002E6C7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Ohebný jednožilový vodič CYA </w:t>
            </w:r>
            <w:r>
              <w:rPr>
                <w:rFonts w:ascii="Arial" w:hAnsi="Arial"/>
                <w:bCs/>
                <w:sz w:val="16"/>
                <w:szCs w:val="16"/>
              </w:rPr>
              <w:t>1,5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 pro vnitřní vedení se zlepšenými vlastnostmi při protahování instalačními trubkami a stabilnější barvy. V suchém prostředí pro pevné uložení v potrubí a pod omítkou, pro přístrojové vedení a rozvodné stanice.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5CC" w:rsidRDefault="00D915CC" w:rsidP="003A3FE8">
      <w:pPr>
        <w:spacing w:after="0"/>
      </w:pPr>
      <w:r>
        <w:separator/>
      </w:r>
    </w:p>
  </w:endnote>
  <w:endnote w:type="continuationSeparator" w:id="0">
    <w:p w:rsidR="00D915CC" w:rsidRDefault="00D915CC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5CC" w:rsidRDefault="00D915CC" w:rsidP="003A3FE8">
      <w:pPr>
        <w:spacing w:after="0"/>
      </w:pPr>
      <w:r>
        <w:separator/>
      </w:r>
    </w:p>
  </w:footnote>
  <w:footnote w:type="continuationSeparator" w:id="0">
    <w:p w:rsidR="00D915CC" w:rsidRDefault="00D915CC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3"/>
  </w:num>
  <w:num w:numId="7">
    <w:abstractNumId w:val="4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  <w:num w:numId="15">
    <w:abstractNumId w:val="1"/>
  </w:num>
  <w:num w:numId="16">
    <w:abstractNumId w:val="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13408"/>
    <w:rsid w:val="00034140"/>
    <w:rsid w:val="00036E4C"/>
    <w:rsid w:val="00060839"/>
    <w:rsid w:val="00070E21"/>
    <w:rsid w:val="00087092"/>
    <w:rsid w:val="000C5EDC"/>
    <w:rsid w:val="00131A44"/>
    <w:rsid w:val="001863DB"/>
    <w:rsid w:val="001E1185"/>
    <w:rsid w:val="001E4D2A"/>
    <w:rsid w:val="001F6726"/>
    <w:rsid w:val="00210D70"/>
    <w:rsid w:val="002203B4"/>
    <w:rsid w:val="002470EB"/>
    <w:rsid w:val="002640AD"/>
    <w:rsid w:val="00265E8E"/>
    <w:rsid w:val="002A1AA4"/>
    <w:rsid w:val="002E6C7D"/>
    <w:rsid w:val="00332E7E"/>
    <w:rsid w:val="003A30E6"/>
    <w:rsid w:val="003A3FE8"/>
    <w:rsid w:val="003A675C"/>
    <w:rsid w:val="003C432B"/>
    <w:rsid w:val="003F3D8C"/>
    <w:rsid w:val="00436C55"/>
    <w:rsid w:val="00525ECA"/>
    <w:rsid w:val="00526CFC"/>
    <w:rsid w:val="005762D8"/>
    <w:rsid w:val="005C2ADD"/>
    <w:rsid w:val="005F5487"/>
    <w:rsid w:val="00626A97"/>
    <w:rsid w:val="00626E5E"/>
    <w:rsid w:val="00627CBF"/>
    <w:rsid w:val="00683BC1"/>
    <w:rsid w:val="00691A6D"/>
    <w:rsid w:val="00712488"/>
    <w:rsid w:val="00775B1A"/>
    <w:rsid w:val="00783690"/>
    <w:rsid w:val="007B14D8"/>
    <w:rsid w:val="007B2E40"/>
    <w:rsid w:val="007C4655"/>
    <w:rsid w:val="00880C74"/>
    <w:rsid w:val="009057F6"/>
    <w:rsid w:val="00945E6F"/>
    <w:rsid w:val="00980854"/>
    <w:rsid w:val="009909CA"/>
    <w:rsid w:val="009A7E6C"/>
    <w:rsid w:val="009D1A78"/>
    <w:rsid w:val="009D2492"/>
    <w:rsid w:val="009D4ED1"/>
    <w:rsid w:val="00A057DF"/>
    <w:rsid w:val="00A14ACA"/>
    <w:rsid w:val="00A34469"/>
    <w:rsid w:val="00A60E3A"/>
    <w:rsid w:val="00A844F7"/>
    <w:rsid w:val="00A84C43"/>
    <w:rsid w:val="00AD4FEB"/>
    <w:rsid w:val="00AE59CA"/>
    <w:rsid w:val="00B041B8"/>
    <w:rsid w:val="00BA653C"/>
    <w:rsid w:val="00BC5A04"/>
    <w:rsid w:val="00BF5772"/>
    <w:rsid w:val="00C101F7"/>
    <w:rsid w:val="00C1367D"/>
    <w:rsid w:val="00C1554B"/>
    <w:rsid w:val="00C944EA"/>
    <w:rsid w:val="00CE64E6"/>
    <w:rsid w:val="00CF031D"/>
    <w:rsid w:val="00CF75EF"/>
    <w:rsid w:val="00D1465D"/>
    <w:rsid w:val="00D3104A"/>
    <w:rsid w:val="00D51EF4"/>
    <w:rsid w:val="00D5342B"/>
    <w:rsid w:val="00D538FB"/>
    <w:rsid w:val="00D6409E"/>
    <w:rsid w:val="00D74BEC"/>
    <w:rsid w:val="00D7562C"/>
    <w:rsid w:val="00D838CA"/>
    <w:rsid w:val="00D915CC"/>
    <w:rsid w:val="00DC0D2A"/>
    <w:rsid w:val="00E0627C"/>
    <w:rsid w:val="00E25EDF"/>
    <w:rsid w:val="00E93171"/>
    <w:rsid w:val="00E97ED5"/>
    <w:rsid w:val="00F23B80"/>
    <w:rsid w:val="00F350DD"/>
    <w:rsid w:val="00F520B2"/>
    <w:rsid w:val="00F84E93"/>
    <w:rsid w:val="00FB2CB9"/>
    <w:rsid w:val="00FB539F"/>
    <w:rsid w:val="00FD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11</cp:revision>
  <cp:lastPrinted>2013-11-27T16:40:00Z</cp:lastPrinted>
  <dcterms:created xsi:type="dcterms:W3CDTF">2015-10-19T21:26:00Z</dcterms:created>
  <dcterms:modified xsi:type="dcterms:W3CDTF">2017-10-07T10:55:00Z</dcterms:modified>
</cp:coreProperties>
</file>